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ind w:firstLine="0"/>
        <w:jc w:val="both"/>
        <w:spacing w:before="57" w:beforeAutospacing="0" w:after="57" w:afterAutospacing="0" w:line="283" w:lineRule="atLeast"/>
        <w:shd w:val="clear" w:color="ffffff" w:themeColor="background1" w:fill="ffffff" w:themeFill="background1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Забайкальский Росреестр: о предоставлении земельных наделов для участников СВО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before="57" w:beforeAutospacing="0" w:after="57" w:afterAutospacing="0" w:line="283" w:lineRule="atLeast"/>
        <w:shd w:val="clear" w:color="ffffff" w:themeColor="background1" w:fill="ffffff" w:themeFill="background1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before="57" w:beforeAutospacing="0" w:after="57" w:afterAutospacing="0" w:line="283" w:lineRule="atLeast"/>
        <w:shd w:val="clear" w:color="ffffff" w:themeColor="background1" w:fill="ffffff" w:themeFill="background1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  <w:t xml:space="preserve">Согласно Распоряжению Президента Российской Федерации № 174-рп от 06 июня 2023 года «О </w:t>
      </w:r>
      <w:r>
        <w:rPr>
          <w:rFonts w:ascii="Tinos" w:hAnsi="Tinos" w:eastAsia="Tinos" w:cs="Tinos"/>
          <w:sz w:val="28"/>
          <w:szCs w:val="28"/>
        </w:rPr>
        <w:t xml:space="preserve">дополнительных мерах </w:t>
      </w:r>
      <w:r>
        <w:rPr>
          <w:rFonts w:ascii="Tinos" w:hAnsi="Tinos" w:eastAsia="Tinos" w:cs="Tinos"/>
          <w:sz w:val="28"/>
          <w:szCs w:val="28"/>
        </w:rPr>
        <w:t xml:space="preserve">социальной поддержки военнослужащих, лиц, заключивших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контракт о пребывании в добровольческом формировании,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содействующем выполнению задач, возложенных на Вооруженные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Силы Российской Федерации (войска Национальной гвардии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РФ), лиц, проходящих службу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в войсках Национальной гвардии Росс</w:t>
      </w:r>
      <w:r>
        <w:rPr>
          <w:rFonts w:ascii="Tinos" w:hAnsi="Tinos" w:eastAsia="Tinos" w:cs="Tinos"/>
          <w:sz w:val="28"/>
          <w:szCs w:val="28"/>
        </w:rPr>
        <w:t xml:space="preserve">ийской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Федерации, и членов их семей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» Росреестром совместно с органами государственной власти Забайкальского края ведется работа по предоставлению земельных участков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в собственность участникам СВО на безвозмездной основе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.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before="57" w:beforeAutospacing="0" w:after="57" w:afterAutospacing="0" w:line="283" w:lineRule="atLeast"/>
        <w:shd w:val="clear" w:color="ffffff" w:themeColor="background1" w:fill="ffffff" w:themeFill="background1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before="57" w:beforeAutospacing="0" w:after="57" w:afterAutospacing="0" w:line="283" w:lineRule="atLeast"/>
        <w:shd w:val="clear" w:color="ffffff" w:themeColor="background1" w:fill="ffffff" w:themeFill="background1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  <w:t xml:space="preserve">В процессе работы на постоянной основе формируе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тся перечень земельных участков, возможных к предоставлению в собственность участникам Специальной Военной Операции, в который на июль 2025 года входят 9 земельных участков площадью 1,4539 гектаров, расположенных в Карымском, Чернышевском и Балейском районах.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before="57" w:beforeAutospacing="0" w:after="57" w:afterAutospacing="0" w:line="283" w:lineRule="atLeast"/>
        <w:shd w:val="clear" w:color="ffffff" w:themeColor="background1" w:fill="ffffff" w:themeFill="background1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before="57" w:beforeAutospacing="0" w:after="57" w:afterAutospacing="0" w:line="283" w:lineRule="atLeast"/>
        <w:shd w:val="clear" w:color="ffffff" w:themeColor="background1" w:fill="ffffff" w:themeFill="background1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C Перечнем земельных участков,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возможных к предоставлению в собственность участникам СВО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, можно ознакомиться по следующей ссылке, выбрав вкладку «Забайкальский край»: </w:t>
      </w:r>
      <w:r>
        <w:rPr>
          <w:rFonts w:ascii="Tinos" w:hAnsi="Tinos" w:eastAsia="Tinos" w:cs="Tinos"/>
          <w:sz w:val="28"/>
          <w:szCs w:val="28"/>
          <w:highlight w:val="none"/>
        </w:rPr>
      </w:r>
      <w:hyperlink r:id="rId9" w:tooltip="https://rosreestr.gov.ru/open-service/spetsialnye-proekty/vmeste-s-geroyami/" w:history="1">
        <w:r>
          <w:rPr>
            <w:rStyle w:val="818"/>
            <w:rFonts w:ascii="Tinos" w:hAnsi="Tinos" w:eastAsia="Tinos" w:cs="Tinos"/>
            <w:sz w:val="28"/>
            <w:szCs w:val="28"/>
            <w:highlight w:val="none"/>
          </w:rPr>
          <w:t xml:space="preserve">https://rosreestr.gov.ru/open-service/spetsialnye-proekty/vmeste-s-geroyami/</w:t>
        </w:r>
        <w:r>
          <w:rPr>
            <w:rStyle w:val="818"/>
            <w:rFonts w:ascii="Tinos" w:hAnsi="Tinos" w:eastAsia="Tinos" w:cs="Tinos"/>
            <w:sz w:val="28"/>
            <w:szCs w:val="28"/>
            <w:highlight w:val="none"/>
          </w:rPr>
        </w:r>
        <w:r>
          <w:rPr>
            <w:rStyle w:val="818"/>
            <w:rFonts w:ascii="Tinos" w:hAnsi="Tinos" w:eastAsia="Tinos" w:cs="Tinos"/>
            <w:sz w:val="28"/>
            <w:szCs w:val="28"/>
            <w:highlight w:val="none"/>
          </w:rPr>
        </w:r>
      </w:hyperlink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before="57" w:beforeAutospacing="0" w:after="57" w:afterAutospacing="0" w:line="283" w:lineRule="atLeast"/>
        <w:shd w:val="clear" w:color="ffffff" w:themeColor="background1" w:fill="ffffff" w:themeFill="background1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before="57" w:beforeAutospacing="0" w:after="57" w:afterAutospacing="0" w:line="283" w:lineRule="atLeast"/>
        <w:shd w:val="clear" w:color="ffffff" w:themeColor="background1" w:fill="ffffff" w:themeFill="background1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Указанные земельные участки будут включены в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перечень земельных участков и территорий, потенциально возможных для вовлечения под жилищное строительство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 в рамках проекта «Земля для стройки».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Лица, заинтересованные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в получении земельного участка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, могут воспользоваться сервисом «Земля для стройки» на портале пространственных данных «Национальной системы пространственных данных» по ссылке </w:t>
      </w:r>
      <w:hyperlink r:id="rId10" w:tooltip="https://nspd.gov.ru/" w:history="1">
        <w:r>
          <w:rPr>
            <w:rStyle w:val="818"/>
            <w:rFonts w:ascii="Tinos" w:hAnsi="Tinos" w:eastAsia="Tinos" w:cs="Tinos"/>
            <w:sz w:val="28"/>
            <w:szCs w:val="28"/>
            <w:highlight w:val="none"/>
          </w:rPr>
          <w:t xml:space="preserve">https://nspd.gov.ru/</w:t>
        </w:r>
        <w:r>
          <w:rPr>
            <w:rStyle w:val="818"/>
            <w:rFonts w:ascii="Tinos" w:hAnsi="Tinos" w:eastAsia="Tinos" w:cs="Tinos"/>
            <w:sz w:val="28"/>
            <w:szCs w:val="28"/>
            <w:highlight w:val="none"/>
          </w:rPr>
        </w:r>
        <w:r>
          <w:rPr>
            <w:rStyle w:val="818"/>
          </w:rPr>
        </w:r>
      </w:hyperlink>
      <w:r>
        <w:t xml:space="preserve">.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before="57" w:beforeAutospacing="0" w:after="57" w:afterAutospacing="0" w:line="283" w:lineRule="atLeast"/>
        <w:shd w:val="clear" w:color="ffffff" w:themeColor="background1" w:fill="ffffff" w:themeFill="background1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before="57" w:beforeAutospacing="0" w:after="57" w:afterAutospacing="0" w:line="283" w:lineRule="atLeast"/>
        <w:shd w:val="clear" w:color="ffffff" w:themeColor="background1" w:fill="ffffff" w:themeFill="background1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Кроме того, на официальном сайте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Департамента государственного имущества и земельных отношений Забайкальского края (</w:t>
      </w:r>
      <w:r>
        <w:rPr>
          <w:rFonts w:ascii="Tinos" w:hAnsi="Tinos" w:eastAsia="Tinos" w:cs="Tinos"/>
          <w:sz w:val="28"/>
          <w:szCs w:val="28"/>
          <w:highlight w:val="none"/>
        </w:rPr>
      </w:r>
      <w:hyperlink r:id="rId11" w:tooltip="https://gosim.75.ru/" w:history="1">
        <w:r>
          <w:rPr>
            <w:rStyle w:val="818"/>
            <w:rFonts w:ascii="Tinos" w:hAnsi="Tinos" w:eastAsia="Tinos" w:cs="Tinos"/>
            <w:sz w:val="28"/>
            <w:szCs w:val="28"/>
            <w:highlight w:val="none"/>
          </w:rPr>
          <w:t xml:space="preserve">https://gosim.75.ru/</w:t>
        </w:r>
        <w:r>
          <w:rPr>
            <w:rStyle w:val="818"/>
            <w:rFonts w:ascii="Tinos" w:hAnsi="Tinos" w:eastAsia="Tinos" w:cs="Tinos"/>
            <w:sz w:val="28"/>
            <w:szCs w:val="28"/>
            <w:highlight w:val="none"/>
          </w:rPr>
        </w:r>
      </w:hyperlink>
      <w:r>
        <w:rPr>
          <w:rFonts w:ascii="Tinos" w:hAnsi="Tinos" w:eastAsia="Tinos" w:cs="Tinos"/>
          <w:sz w:val="28"/>
          <w:szCs w:val="28"/>
          <w:highlight w:val="none"/>
        </w:rPr>
        <w:t xml:space="preserve">) в разделе «Информация для участников боевых действий», открывающемся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путем нажатия на кнопку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16563" cy="137119"/>
                <wp:effectExtent l="0" t="0" r="0" b="0"/>
                <wp:docPr id="1" name="_x0000_i109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9902657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216561" cy="1371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.05pt;height:10.80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расположенной в левом углу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, размещен перечень земельных участков, возможных для предоставления участникам военной операции и членам их семей на территории г. Чита,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а также Памятка по предоставлению земельных участков в собственность бесплатно участникам СВО и членам семьи погибшего (умершего) участника СВО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.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before="57" w:beforeAutospacing="0" w:after="57" w:afterAutospacing="0" w:line="283" w:lineRule="atLeast"/>
        <w:shd w:val="clear" w:color="ffffff" w:themeColor="background1" w:fill="ffffff" w:themeFill="background1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left="0" w:right="0" w:firstLine="0"/>
        <w:jc w:val="both"/>
        <w:spacing w:after="62" w:line="276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#Росреестр #РосреестрЧита #РосреестрЗабайкальскийКрай #ЗабайкальскийРосреестр #Росреестр75 #СВО #ЗемельныйУчасток #ЗемляДляСтройки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firstLine="708"/>
        <w:jc w:val="both"/>
        <w:shd w:val="clear" w:color="ffffff" w:themeColor="background1" w:fill="ffffff" w:themeFill="background1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firstLine="708"/>
        <w:jc w:val="center"/>
        <w:shd w:val="clear" w:color="ffffff" w:themeColor="background1" w:fill="ffffff" w:themeFill="background1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Перечни земельных участков для предоставления участникам СВО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tbl>
      <w:tblPr>
        <w:tblStyle w:val="692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2693"/>
        <w:gridCol w:w="4394"/>
        <w:gridCol w:w="1702"/>
      </w:tblGrid>
      <w:tr>
        <w:tblPrEx/>
        <w:trPr>
          <w:trHeight w:val="90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 w:val="0"/>
                <w:i w:val="0"/>
                <w:strike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z w:val="24"/>
                <w:szCs w:val="24"/>
                <w:u w:val="none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/>
                <w:bCs w:val="0"/>
                <w:i w:val="0"/>
                <w:strike w:val="0"/>
                <w:color w:val="000000"/>
                <w:sz w:val="24"/>
                <w:szCs w:val="24"/>
                <w:u w:val="none"/>
              </w:rPr>
            </w:r>
            <w:r>
              <w:rPr>
                <w:rFonts w:ascii="Times New Roman" w:hAnsi="Times New Roman" w:eastAsia="Times New Roman" w:cs="Times New Roman"/>
                <w:b/>
                <w:bCs w:val="0"/>
                <w:i w:val="0"/>
                <w:strike w:val="0"/>
                <w:color w:val="000000"/>
                <w:sz w:val="24"/>
                <w:szCs w:val="24"/>
                <w:u w:val="none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bCs w:val="0"/>
                <w:i w:val="0"/>
                <w:strike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z w:val="24"/>
                <w:szCs w:val="24"/>
                <w:u w:val="none"/>
              </w:rPr>
              <w:t xml:space="preserve">п/п</w:t>
            </w:r>
            <w:r>
              <w:rPr>
                <w:rFonts w:ascii="Times New Roman" w:hAnsi="Times New Roman" w:eastAsia="Times New Roman" w:cs="Times New Roman"/>
                <w:b/>
                <w:bCs w:val="0"/>
                <w:i w:val="0"/>
                <w:strike w:val="0"/>
                <w:color w:val="000000"/>
                <w:sz w:val="24"/>
                <w:szCs w:val="24"/>
                <w:u w:val="none"/>
              </w:rPr>
            </w:r>
            <w:r>
              <w:rPr>
                <w:rFonts w:ascii="Times New Roman" w:hAnsi="Times New Roman" w:eastAsia="Times New Roman" w:cs="Times New Roman"/>
                <w:b/>
                <w:bCs w:val="0"/>
                <w:i w:val="0"/>
                <w:strike w:val="0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4"/>
                <w:u w:val="none"/>
              </w:rPr>
              <w:t xml:space="preserve">Кадастровый номер земельного участка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4"/>
                <w:u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4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9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4"/>
                <w:u w:val="none"/>
              </w:rPr>
              <w:t xml:space="preserve">Адрес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4"/>
                <w:u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4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4"/>
                <w:u w:val="none"/>
              </w:rPr>
              <w:t xml:space="preserve">Площадь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4"/>
                <w:u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4"/>
                <w:u w:val="none"/>
              </w:rPr>
            </w:r>
          </w:p>
        </w:tc>
      </w:tr>
      <w:tr>
        <w:tblPrEx/>
        <w:trPr>
          <w:trHeight w:val="90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75:21:350101:300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Забайкальский край, р-н Чернышевский, с Байгул, ул Нагорная, 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2400</w:t>
            </w:r>
            <w:r/>
          </w:p>
        </w:tc>
      </w:tr>
      <w:tr>
        <w:tblPrEx/>
        <w:trPr>
          <w:trHeight w:val="90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75:21:350102:482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Забайкальский край, р-н Чернышевский, с Байгул, ул. Комсомольская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1500</w:t>
            </w:r>
            <w:r/>
          </w:p>
        </w:tc>
      </w:tr>
      <w:tr>
        <w:tblPrEx/>
        <w:trPr>
          <w:trHeight w:val="90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75:21:350101:465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Забайкальский край, р-н Чернышевский, с Байгул, ул. Луговая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1500</w:t>
            </w:r>
            <w:r/>
          </w:p>
        </w:tc>
      </w:tr>
      <w:tr>
        <w:tblPrEx/>
        <w:trPr>
          <w:trHeight w:val="90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75:08:370301:198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Забайкальский край, р-н Карымский, с. Кадахта, ул. Лесная, 6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1800</w:t>
            </w:r>
            <w:r/>
          </w:p>
        </w:tc>
      </w:tr>
      <w:tr>
        <w:tblPrEx/>
        <w:trPr>
          <w:trHeight w:val="90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75:08:080102:177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Забайкальский край, р-н Карымский, с. Большая Тура, ул. Ингодинская, 30А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1958</w:t>
            </w:r>
            <w:r/>
          </w:p>
        </w:tc>
      </w:tr>
      <w:tr>
        <w:tblPrEx/>
        <w:trPr>
          <w:trHeight w:val="90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75:08:040110:132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Забайкальский край, р-н Карымский, с. Урульга, ул. 2-я Совхозная, 1а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1769</w:t>
            </w:r>
            <w:r/>
          </w:p>
        </w:tc>
      </w:tr>
      <w:tr>
        <w:tblPrEx/>
        <w:trPr>
          <w:trHeight w:val="90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75:03:290210:567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Забайкальский край, Балейский район, г. Балей, ул. Сретенская, 30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1223</w:t>
            </w:r>
            <w:r/>
          </w:p>
        </w:tc>
      </w:tr>
      <w:tr>
        <w:tblPrEx/>
        <w:trPr>
          <w:trHeight w:val="90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75:03:290210:569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Забайкальский край, Балейский район, г. Балей, ул. Сретенская, 28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u w:val="none"/>
              </w:rPr>
              <w:t xml:space="preserve">1196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14:ligatures w14:val="none"/>
              </w:rPr>
            </w:r>
          </w:p>
        </w:tc>
      </w:tr>
      <w:tr>
        <w:tblPrEx/>
        <w:trPr>
          <w:trHeight w:val="90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75:03:290210:570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Забайкальский край, Балейский район, г. Балей, ул. Сретенская, 32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u w:val="none"/>
              </w:rPr>
              <w:t xml:space="preserve">1193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14:ligatures w14:val="none"/>
              </w:rPr>
            </w:r>
          </w:p>
        </w:tc>
      </w:tr>
    </w:tbl>
    <w:p>
      <w:pPr>
        <w:ind w:firstLine="708"/>
        <w:jc w:val="both"/>
        <w:shd w:val="clear" w:color="ffffff" w:themeColor="background1" w:fill="ffffff" w:themeFill="background1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nos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836"/>
    <w:next w:val="836"/>
    <w:link w:val="66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1">
    <w:name w:val="Heading 1 Char"/>
    <w:link w:val="660"/>
    <w:uiPriority w:val="9"/>
    <w:rPr>
      <w:rFonts w:ascii="Arial" w:hAnsi="Arial" w:eastAsia="Arial" w:cs="Arial"/>
      <w:sz w:val="40"/>
      <w:szCs w:val="40"/>
    </w:rPr>
  </w:style>
  <w:style w:type="paragraph" w:styleId="662">
    <w:name w:val="Heading 2"/>
    <w:basedOn w:val="836"/>
    <w:next w:val="836"/>
    <w:link w:val="66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3">
    <w:name w:val="Heading 2 Char"/>
    <w:link w:val="662"/>
    <w:uiPriority w:val="9"/>
    <w:rPr>
      <w:rFonts w:ascii="Arial" w:hAnsi="Arial" w:eastAsia="Arial" w:cs="Arial"/>
      <w:sz w:val="34"/>
    </w:rPr>
  </w:style>
  <w:style w:type="paragraph" w:styleId="664">
    <w:name w:val="Heading 3"/>
    <w:basedOn w:val="836"/>
    <w:next w:val="836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5">
    <w:name w:val="Heading 3 Char"/>
    <w:link w:val="664"/>
    <w:uiPriority w:val="9"/>
    <w:rPr>
      <w:rFonts w:ascii="Arial" w:hAnsi="Arial" w:eastAsia="Arial" w:cs="Arial"/>
      <w:sz w:val="30"/>
      <w:szCs w:val="30"/>
    </w:rPr>
  </w:style>
  <w:style w:type="paragraph" w:styleId="666">
    <w:name w:val="Heading 4"/>
    <w:basedOn w:val="836"/>
    <w:next w:val="836"/>
    <w:link w:val="66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7">
    <w:name w:val="Heading 4 Char"/>
    <w:link w:val="666"/>
    <w:uiPriority w:val="9"/>
    <w:rPr>
      <w:rFonts w:ascii="Arial" w:hAnsi="Arial" w:eastAsia="Arial" w:cs="Arial"/>
      <w:b/>
      <w:bCs/>
      <w:sz w:val="26"/>
      <w:szCs w:val="26"/>
    </w:rPr>
  </w:style>
  <w:style w:type="paragraph" w:styleId="668">
    <w:name w:val="Heading 5"/>
    <w:basedOn w:val="836"/>
    <w:next w:val="836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9">
    <w:name w:val="Heading 5 Char"/>
    <w:link w:val="668"/>
    <w:uiPriority w:val="9"/>
    <w:rPr>
      <w:rFonts w:ascii="Arial" w:hAnsi="Arial" w:eastAsia="Arial" w:cs="Arial"/>
      <w:b/>
      <w:bCs/>
      <w:sz w:val="24"/>
      <w:szCs w:val="24"/>
    </w:rPr>
  </w:style>
  <w:style w:type="paragraph" w:styleId="670">
    <w:name w:val="Heading 6"/>
    <w:basedOn w:val="836"/>
    <w:next w:val="836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6 Char"/>
    <w:link w:val="670"/>
    <w:uiPriority w:val="9"/>
    <w:rPr>
      <w:rFonts w:ascii="Arial" w:hAnsi="Arial" w:eastAsia="Arial" w:cs="Arial"/>
      <w:b/>
      <w:bCs/>
      <w:sz w:val="22"/>
      <w:szCs w:val="22"/>
    </w:rPr>
  </w:style>
  <w:style w:type="paragraph" w:styleId="672">
    <w:name w:val="Heading 7"/>
    <w:basedOn w:val="836"/>
    <w:next w:val="836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3">
    <w:name w:val="Heading 7 Char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836"/>
    <w:next w:val="836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8 Char"/>
    <w:link w:val="674"/>
    <w:uiPriority w:val="9"/>
    <w:rPr>
      <w:rFonts w:ascii="Arial" w:hAnsi="Arial" w:eastAsia="Arial" w:cs="Arial"/>
      <w:i/>
      <w:iCs/>
      <w:sz w:val="22"/>
      <w:szCs w:val="22"/>
    </w:rPr>
  </w:style>
  <w:style w:type="paragraph" w:styleId="676">
    <w:name w:val="Heading 9"/>
    <w:basedOn w:val="836"/>
    <w:next w:val="836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7">
    <w:name w:val="Heading 9 Char"/>
    <w:link w:val="676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Title"/>
    <w:basedOn w:val="836"/>
    <w:next w:val="836"/>
    <w:link w:val="67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9">
    <w:name w:val="Title Char"/>
    <w:link w:val="678"/>
    <w:uiPriority w:val="10"/>
    <w:rPr>
      <w:sz w:val="48"/>
      <w:szCs w:val="48"/>
    </w:rPr>
  </w:style>
  <w:style w:type="paragraph" w:styleId="680">
    <w:name w:val="Subtitle"/>
    <w:basedOn w:val="836"/>
    <w:next w:val="836"/>
    <w:link w:val="681"/>
    <w:uiPriority w:val="11"/>
    <w:qFormat/>
    <w:pPr>
      <w:spacing w:before="200" w:after="200"/>
    </w:pPr>
    <w:rPr>
      <w:sz w:val="24"/>
      <w:szCs w:val="24"/>
    </w:rPr>
  </w:style>
  <w:style w:type="character" w:styleId="681">
    <w:name w:val="Subtitle Char"/>
    <w:link w:val="680"/>
    <w:uiPriority w:val="11"/>
    <w:rPr>
      <w:sz w:val="24"/>
      <w:szCs w:val="24"/>
    </w:rPr>
  </w:style>
  <w:style w:type="paragraph" w:styleId="682">
    <w:name w:val="Quote"/>
    <w:basedOn w:val="836"/>
    <w:next w:val="836"/>
    <w:link w:val="683"/>
    <w:uiPriority w:val="29"/>
    <w:qFormat/>
    <w:pPr>
      <w:ind w:left="720" w:right="720"/>
    </w:pPr>
    <w:rPr>
      <w:i/>
    </w:rPr>
  </w:style>
  <w:style w:type="character" w:styleId="683">
    <w:name w:val="Quote Char"/>
    <w:link w:val="682"/>
    <w:uiPriority w:val="29"/>
    <w:rPr>
      <w:i/>
    </w:rPr>
  </w:style>
  <w:style w:type="paragraph" w:styleId="684">
    <w:name w:val="Intense Quote"/>
    <w:basedOn w:val="836"/>
    <w:next w:val="836"/>
    <w:link w:val="6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>
    <w:name w:val="Intense Quote Char"/>
    <w:link w:val="684"/>
    <w:uiPriority w:val="30"/>
    <w:rPr>
      <w:i/>
    </w:rPr>
  </w:style>
  <w:style w:type="paragraph" w:styleId="686">
    <w:name w:val="Header"/>
    <w:basedOn w:val="836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Header Char"/>
    <w:link w:val="686"/>
    <w:uiPriority w:val="99"/>
  </w:style>
  <w:style w:type="paragraph" w:styleId="688">
    <w:name w:val="Footer"/>
    <w:basedOn w:val="836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Footer Char"/>
    <w:link w:val="688"/>
    <w:uiPriority w:val="99"/>
  </w:style>
  <w:style w:type="paragraph" w:styleId="690">
    <w:name w:val="Caption"/>
    <w:basedOn w:val="836"/>
    <w:next w:val="83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1">
    <w:name w:val="Caption Char"/>
    <w:basedOn w:val="690"/>
    <w:link w:val="688"/>
    <w:uiPriority w:val="99"/>
  </w:style>
  <w:style w:type="table" w:styleId="692">
    <w:name w:val="Table Grid"/>
    <w:basedOn w:val="83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Table Grid Light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2">
    <w:name w:val="List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3">
    <w:name w:val="List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4">
    <w:name w:val="List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5">
    <w:name w:val="List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6">
    <w:name w:val="List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7">
    <w:name w:val="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9">
    <w:name w:val="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0">
    <w:name w:val="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1">
    <w:name w:val="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2">
    <w:name w:val="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3">
    <w:name w:val="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4">
    <w:name w:val="Bordered &amp; 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6">
    <w:name w:val="Bordered &amp; 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7">
    <w:name w:val="Bordered &amp; 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8">
    <w:name w:val="Bordered &amp; 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9">
    <w:name w:val="Bordered &amp; 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0">
    <w:name w:val="Bordered &amp; 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1">
    <w:name w:val="Bordered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8">
    <w:name w:val="Hyperlink"/>
    <w:uiPriority w:val="99"/>
    <w:unhideWhenUsed/>
    <w:rPr>
      <w:color w:val="0000ff" w:themeColor="hyperlink"/>
      <w:u w:val="single"/>
    </w:rPr>
  </w:style>
  <w:style w:type="paragraph" w:styleId="819">
    <w:name w:val="footnote text"/>
    <w:basedOn w:val="836"/>
    <w:link w:val="820"/>
    <w:uiPriority w:val="99"/>
    <w:semiHidden/>
    <w:unhideWhenUsed/>
    <w:pPr>
      <w:spacing w:after="40" w:line="240" w:lineRule="auto"/>
    </w:pPr>
    <w:rPr>
      <w:sz w:val="18"/>
    </w:rPr>
  </w:style>
  <w:style w:type="character" w:styleId="820">
    <w:name w:val="Footnote Text Char"/>
    <w:link w:val="819"/>
    <w:uiPriority w:val="99"/>
    <w:rPr>
      <w:sz w:val="18"/>
    </w:rPr>
  </w:style>
  <w:style w:type="character" w:styleId="821">
    <w:name w:val="footnote reference"/>
    <w:uiPriority w:val="99"/>
    <w:unhideWhenUsed/>
    <w:rPr>
      <w:vertAlign w:val="superscript"/>
    </w:rPr>
  </w:style>
  <w:style w:type="paragraph" w:styleId="822">
    <w:name w:val="endnote text"/>
    <w:basedOn w:val="836"/>
    <w:link w:val="823"/>
    <w:uiPriority w:val="99"/>
    <w:semiHidden/>
    <w:unhideWhenUsed/>
    <w:pPr>
      <w:spacing w:after="0" w:line="240" w:lineRule="auto"/>
    </w:pPr>
    <w:rPr>
      <w:sz w:val="20"/>
    </w:rPr>
  </w:style>
  <w:style w:type="character" w:styleId="823">
    <w:name w:val="Endnote Text Char"/>
    <w:link w:val="822"/>
    <w:uiPriority w:val="99"/>
    <w:rPr>
      <w:sz w:val="20"/>
    </w:rPr>
  </w:style>
  <w:style w:type="character" w:styleId="824">
    <w:name w:val="endnote reference"/>
    <w:uiPriority w:val="99"/>
    <w:semiHidden/>
    <w:unhideWhenUsed/>
    <w:rPr>
      <w:vertAlign w:val="superscript"/>
    </w:rPr>
  </w:style>
  <w:style w:type="paragraph" w:styleId="825">
    <w:name w:val="toc 1"/>
    <w:basedOn w:val="836"/>
    <w:next w:val="836"/>
    <w:uiPriority w:val="39"/>
    <w:unhideWhenUsed/>
    <w:pPr>
      <w:ind w:left="0" w:right="0" w:firstLine="0"/>
      <w:spacing w:after="57"/>
    </w:pPr>
  </w:style>
  <w:style w:type="paragraph" w:styleId="826">
    <w:name w:val="toc 2"/>
    <w:basedOn w:val="836"/>
    <w:next w:val="836"/>
    <w:uiPriority w:val="39"/>
    <w:unhideWhenUsed/>
    <w:pPr>
      <w:ind w:left="283" w:right="0" w:firstLine="0"/>
      <w:spacing w:after="57"/>
    </w:pPr>
  </w:style>
  <w:style w:type="paragraph" w:styleId="827">
    <w:name w:val="toc 3"/>
    <w:basedOn w:val="836"/>
    <w:next w:val="836"/>
    <w:uiPriority w:val="39"/>
    <w:unhideWhenUsed/>
    <w:pPr>
      <w:ind w:left="567" w:right="0" w:firstLine="0"/>
      <w:spacing w:after="57"/>
    </w:pPr>
  </w:style>
  <w:style w:type="paragraph" w:styleId="828">
    <w:name w:val="toc 4"/>
    <w:basedOn w:val="836"/>
    <w:next w:val="836"/>
    <w:uiPriority w:val="39"/>
    <w:unhideWhenUsed/>
    <w:pPr>
      <w:ind w:left="850" w:right="0" w:firstLine="0"/>
      <w:spacing w:after="57"/>
    </w:pPr>
  </w:style>
  <w:style w:type="paragraph" w:styleId="829">
    <w:name w:val="toc 5"/>
    <w:basedOn w:val="836"/>
    <w:next w:val="836"/>
    <w:uiPriority w:val="39"/>
    <w:unhideWhenUsed/>
    <w:pPr>
      <w:ind w:left="1134" w:right="0" w:firstLine="0"/>
      <w:spacing w:after="57"/>
    </w:pPr>
  </w:style>
  <w:style w:type="paragraph" w:styleId="830">
    <w:name w:val="toc 6"/>
    <w:basedOn w:val="836"/>
    <w:next w:val="836"/>
    <w:uiPriority w:val="39"/>
    <w:unhideWhenUsed/>
    <w:pPr>
      <w:ind w:left="1417" w:right="0" w:firstLine="0"/>
      <w:spacing w:after="57"/>
    </w:pPr>
  </w:style>
  <w:style w:type="paragraph" w:styleId="831">
    <w:name w:val="toc 7"/>
    <w:basedOn w:val="836"/>
    <w:next w:val="836"/>
    <w:uiPriority w:val="39"/>
    <w:unhideWhenUsed/>
    <w:pPr>
      <w:ind w:left="1701" w:right="0" w:firstLine="0"/>
      <w:spacing w:after="57"/>
    </w:pPr>
  </w:style>
  <w:style w:type="paragraph" w:styleId="832">
    <w:name w:val="toc 8"/>
    <w:basedOn w:val="836"/>
    <w:next w:val="836"/>
    <w:uiPriority w:val="39"/>
    <w:unhideWhenUsed/>
    <w:pPr>
      <w:ind w:left="1984" w:right="0" w:firstLine="0"/>
      <w:spacing w:after="57"/>
    </w:pPr>
  </w:style>
  <w:style w:type="paragraph" w:styleId="833">
    <w:name w:val="toc 9"/>
    <w:basedOn w:val="836"/>
    <w:next w:val="836"/>
    <w:uiPriority w:val="39"/>
    <w:unhideWhenUsed/>
    <w:pPr>
      <w:ind w:left="2268" w:right="0" w:firstLine="0"/>
      <w:spacing w:after="57"/>
    </w:pPr>
  </w:style>
  <w:style w:type="paragraph" w:styleId="834">
    <w:name w:val="TOC Heading"/>
    <w:uiPriority w:val="39"/>
    <w:unhideWhenUsed/>
  </w:style>
  <w:style w:type="paragraph" w:styleId="835">
    <w:name w:val="table of figures"/>
    <w:basedOn w:val="836"/>
    <w:next w:val="836"/>
    <w:uiPriority w:val="99"/>
    <w:unhideWhenUsed/>
    <w:pPr>
      <w:spacing w:after="0" w:afterAutospacing="0"/>
    </w:pPr>
  </w:style>
  <w:style w:type="paragraph" w:styleId="836" w:default="1">
    <w:name w:val="Normal"/>
    <w:qFormat/>
  </w:style>
  <w:style w:type="table" w:styleId="8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8" w:default="1">
    <w:name w:val="No List"/>
    <w:uiPriority w:val="99"/>
    <w:semiHidden/>
    <w:unhideWhenUsed/>
  </w:style>
  <w:style w:type="paragraph" w:styleId="839">
    <w:name w:val="No Spacing"/>
    <w:basedOn w:val="836"/>
    <w:uiPriority w:val="1"/>
    <w:qFormat/>
    <w:pPr>
      <w:spacing w:after="0" w:line="240" w:lineRule="auto"/>
    </w:pPr>
  </w:style>
  <w:style w:type="paragraph" w:styleId="840">
    <w:name w:val="List Paragraph"/>
    <w:basedOn w:val="836"/>
    <w:uiPriority w:val="34"/>
    <w:qFormat/>
    <w:pPr>
      <w:contextualSpacing/>
      <w:ind w:left="720"/>
    </w:pPr>
  </w:style>
  <w:style w:type="character" w:styleId="841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rosreestr.gov.ru/open-service/spetsialnye-proekty/vmeste-s-geroyami/" TargetMode="External"/><Relationship Id="rId10" Type="http://schemas.openxmlformats.org/officeDocument/2006/relationships/hyperlink" Target="https://nspd.gov.ru/" TargetMode="External"/><Relationship Id="rId11" Type="http://schemas.openxmlformats.org/officeDocument/2006/relationships/hyperlink" Target="https://gosim.75.ru/" TargetMode="External"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6</cp:revision>
  <dcterms:modified xsi:type="dcterms:W3CDTF">2025-07-23T05:58:49Z</dcterms:modified>
</cp:coreProperties>
</file>